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3E4D" w:rsidRDefault="00F55491">
      <w:pPr>
        <w:pStyle w:val="1"/>
        <w:shd w:val="clear" w:color="auto" w:fill="auto"/>
        <w:ind w:left="7300" w:right="40" w:firstLine="0"/>
      </w:pPr>
      <w:r>
        <w:t>Приложение № 1 к Постановлению</w:t>
      </w:r>
    </w:p>
    <w:p w:rsidR="00753E4D" w:rsidRDefault="00F55491">
      <w:pPr>
        <w:pStyle w:val="20"/>
        <w:shd w:val="clear" w:color="auto" w:fill="auto"/>
        <w:spacing w:before="0"/>
      </w:pPr>
      <w:r>
        <w:t>ПОРЯДОК</w:t>
      </w:r>
    </w:p>
    <w:p w:rsidR="00753E4D" w:rsidRDefault="00F55491">
      <w:pPr>
        <w:pStyle w:val="20"/>
        <w:shd w:val="clear" w:color="auto" w:fill="auto"/>
        <w:spacing w:before="0"/>
      </w:pPr>
      <w:r>
        <w:t>ИСПОЛЬЗОВАНИЯ БЮДЖЕТНЫХ АССИГНОВАНИЙ РЕЗЕРВНОГО ФОНДА АДМИНИСТРАЦИИ СЕЛЬСКОГО ПОСЕЛЕНИЯ ТИМОФЕЕВКА ДЛЯ ФИНАНСИРОВАНИЯ</w:t>
      </w:r>
    </w:p>
    <w:p w:rsidR="00753E4D" w:rsidRDefault="00F55491">
      <w:pPr>
        <w:pStyle w:val="20"/>
        <w:shd w:val="clear" w:color="auto" w:fill="auto"/>
        <w:spacing w:before="0" w:after="240"/>
      </w:pPr>
      <w:r>
        <w:t>НЕПРЕДВИДЕННЫХ РАСХОДОВ</w:t>
      </w:r>
    </w:p>
    <w:p w:rsidR="00753E4D" w:rsidRDefault="00F55491">
      <w:pPr>
        <w:pStyle w:val="1"/>
        <w:numPr>
          <w:ilvl w:val="0"/>
          <w:numId w:val="1"/>
        </w:numPr>
        <w:shd w:val="clear" w:color="auto" w:fill="auto"/>
        <w:tabs>
          <w:tab w:val="left" w:pos="1291"/>
        </w:tabs>
        <w:spacing w:after="236"/>
        <w:ind w:left="1340" w:right="40"/>
      </w:pPr>
      <w:r>
        <w:t>Настоящий Порядок определяет механизм и основания направления и использования бюджетных ассигнований резервного фонда Администрации сельского поселения ТИМОФЕЕВКА для финансирования непредвиденных расходов (далее - резервный фонд).</w:t>
      </w:r>
    </w:p>
    <w:p w:rsidR="00753E4D" w:rsidRDefault="00F55491">
      <w:pPr>
        <w:pStyle w:val="1"/>
        <w:numPr>
          <w:ilvl w:val="0"/>
          <w:numId w:val="1"/>
        </w:numPr>
        <w:shd w:val="clear" w:color="auto" w:fill="auto"/>
        <w:tabs>
          <w:tab w:val="left" w:pos="1291"/>
        </w:tabs>
        <w:spacing w:after="240" w:line="274" w:lineRule="exact"/>
        <w:ind w:left="1340" w:right="40"/>
      </w:pPr>
      <w:r>
        <w:t xml:space="preserve">Резервный фонд создается в соответствии со статьей 81 Бюджетного кодекса Российской Федерации для финансового обеспечения непредвиденных расходов, в том числе на проведение </w:t>
      </w:r>
      <w:proofErr w:type="spellStart"/>
      <w:r>
        <w:t>аварийно</w:t>
      </w:r>
      <w:r>
        <w:softHyphen/>
        <w:t>восстановительных</w:t>
      </w:r>
      <w:proofErr w:type="spellEnd"/>
      <w:r>
        <w:t xml:space="preserve"> работ и иных мероприятий, связанных с ликвидацией последствий стихийных бедствий и других чрезвычайных ситуаций.</w:t>
      </w:r>
    </w:p>
    <w:p w:rsidR="00753E4D" w:rsidRDefault="00F55491">
      <w:pPr>
        <w:pStyle w:val="1"/>
        <w:numPr>
          <w:ilvl w:val="0"/>
          <w:numId w:val="1"/>
        </w:numPr>
        <w:shd w:val="clear" w:color="auto" w:fill="auto"/>
        <w:tabs>
          <w:tab w:val="left" w:pos="1291"/>
        </w:tabs>
        <w:spacing w:after="240" w:line="274" w:lineRule="exact"/>
        <w:ind w:left="1340" w:right="40"/>
      </w:pPr>
      <w:r>
        <w:t xml:space="preserve">Размер резервного фонда в бюджете сельского поселения Тимофеевка устанавливается в соответствии с Уставом сельского поселения Тимофеевка на соответствующий финансовый год и не может превышать </w:t>
      </w:r>
      <w:proofErr w:type="gramStart"/>
      <w:r>
        <w:t>З</w:t>
      </w:r>
      <w:proofErr w:type="gramEnd"/>
      <w:r w:rsidR="00432938">
        <w:t xml:space="preserve"> </w:t>
      </w:r>
      <w:r>
        <w:t>процента, утвержденного Решением Собрания Представителей сельского поселения Тимофеевка от общего объема расходов.</w:t>
      </w:r>
    </w:p>
    <w:p w:rsidR="00753E4D" w:rsidRDefault="00F55491">
      <w:pPr>
        <w:pStyle w:val="1"/>
        <w:shd w:val="clear" w:color="auto" w:fill="auto"/>
        <w:spacing w:after="244" w:line="274" w:lineRule="exact"/>
        <w:ind w:left="20" w:right="40" w:firstLine="540"/>
      </w:pPr>
      <w:r>
        <w:t>К непредвиденным расходам относятся расходы, которые нельзя предусмотреть заранее в силу обстоятельств объективного характера и которые не могут быть учтены при формировании расходов бюджета сельского поселения Тимофеевка на соответствующий финансовый год и плановый период.</w:t>
      </w:r>
    </w:p>
    <w:p w:rsidR="00753E4D" w:rsidRDefault="00F55491">
      <w:pPr>
        <w:pStyle w:val="1"/>
        <w:shd w:val="clear" w:color="auto" w:fill="auto"/>
        <w:spacing w:after="0"/>
        <w:ind w:left="20" w:firstLine="540"/>
      </w:pPr>
      <w:r>
        <w:t xml:space="preserve">Средства резервного фонда могут быть направлены </w:t>
      </w:r>
      <w:proofErr w:type="gramStart"/>
      <w:r>
        <w:t>на</w:t>
      </w:r>
      <w:proofErr w:type="gramEnd"/>
      <w:r>
        <w:t>:</w:t>
      </w:r>
    </w:p>
    <w:p w:rsidR="00753E4D" w:rsidRDefault="00F55491">
      <w:pPr>
        <w:pStyle w:val="1"/>
        <w:numPr>
          <w:ilvl w:val="0"/>
          <w:numId w:val="2"/>
        </w:numPr>
        <w:shd w:val="clear" w:color="auto" w:fill="auto"/>
        <w:tabs>
          <w:tab w:val="left" w:pos="733"/>
        </w:tabs>
        <w:spacing w:after="0"/>
        <w:ind w:left="20" w:right="40" w:firstLine="540"/>
      </w:pPr>
      <w:r>
        <w:t>проведение аварийно-восстановительных работ по ликвидации последствий стихийных бедствий и других чрезвычайных ситуаций в границах городского округа;</w:t>
      </w:r>
    </w:p>
    <w:p w:rsidR="00753E4D" w:rsidRDefault="00F55491">
      <w:pPr>
        <w:pStyle w:val="1"/>
        <w:numPr>
          <w:ilvl w:val="0"/>
          <w:numId w:val="2"/>
        </w:numPr>
        <w:shd w:val="clear" w:color="auto" w:fill="auto"/>
        <w:tabs>
          <w:tab w:val="left" w:pos="886"/>
        </w:tabs>
        <w:spacing w:after="0"/>
        <w:ind w:left="20" w:right="40" w:firstLine="540"/>
      </w:pPr>
      <w:r>
        <w:t>ликвидацию и предупреждение аварийных и чрезвычайных ситуаций, представляющих угрозу жизни и здоровью людей и приводящих к разрушению зданий, сооружений, оборудования и транспортных средств, нарушению производственного или транспортного процесса, и их последствий в границах городского округа;</w:t>
      </w:r>
    </w:p>
    <w:p w:rsidR="00753E4D" w:rsidRDefault="00F55491">
      <w:pPr>
        <w:pStyle w:val="1"/>
        <w:numPr>
          <w:ilvl w:val="0"/>
          <w:numId w:val="2"/>
        </w:numPr>
        <w:shd w:val="clear" w:color="auto" w:fill="auto"/>
        <w:tabs>
          <w:tab w:val="left" w:pos="733"/>
        </w:tabs>
        <w:spacing w:after="240"/>
        <w:ind w:left="20" w:firstLine="540"/>
      </w:pPr>
      <w:r>
        <w:t>урегулирование иных непредвиденных социально-экономических ситуаций.</w:t>
      </w:r>
    </w:p>
    <w:p w:rsidR="00753E4D" w:rsidRDefault="00F55491">
      <w:pPr>
        <w:pStyle w:val="1"/>
        <w:numPr>
          <w:ilvl w:val="0"/>
          <w:numId w:val="1"/>
        </w:numPr>
        <w:shd w:val="clear" w:color="auto" w:fill="auto"/>
        <w:tabs>
          <w:tab w:val="left" w:pos="886"/>
        </w:tabs>
        <w:spacing w:after="0"/>
        <w:ind w:left="20" w:firstLine="540"/>
      </w:pPr>
      <w:r>
        <w:t>Бюджетные ассигнования из резервного фонда выделяются в формах,</w:t>
      </w:r>
    </w:p>
    <w:p w:rsidR="00753E4D" w:rsidRDefault="00F55491">
      <w:pPr>
        <w:pStyle w:val="1"/>
        <w:shd w:val="clear" w:color="auto" w:fill="auto"/>
        <w:tabs>
          <w:tab w:val="right" w:pos="5370"/>
          <w:tab w:val="left" w:pos="5574"/>
          <w:tab w:val="right" w:pos="9399"/>
        </w:tabs>
        <w:spacing w:after="0"/>
        <w:ind w:left="20" w:firstLine="0"/>
      </w:pPr>
      <w:proofErr w:type="gramStart"/>
      <w:r>
        <w:t>предусмотренных</w:t>
      </w:r>
      <w:proofErr w:type="gramEnd"/>
      <w:r>
        <w:t xml:space="preserve"> Бюджетным</w:t>
      </w:r>
      <w:r>
        <w:tab/>
        <w:t>кодексом</w:t>
      </w:r>
      <w:r>
        <w:tab/>
        <w:t>Российской</w:t>
      </w:r>
      <w:r>
        <w:tab/>
        <w:t>Федерации, и</w:t>
      </w:r>
    </w:p>
    <w:p w:rsidR="00753E4D" w:rsidRDefault="00F55491">
      <w:pPr>
        <w:pStyle w:val="1"/>
        <w:shd w:val="clear" w:color="auto" w:fill="auto"/>
        <w:spacing w:after="0"/>
        <w:ind w:left="20" w:right="40" w:firstLine="0"/>
      </w:pPr>
      <w:r>
        <w:t>перечисляются с лицевых счетов соответствующих главных распорядителей или получателей бюджетных средств.</w:t>
      </w:r>
    </w:p>
    <w:p w:rsidR="00753E4D" w:rsidRDefault="00F55491">
      <w:pPr>
        <w:pStyle w:val="1"/>
        <w:numPr>
          <w:ilvl w:val="0"/>
          <w:numId w:val="1"/>
        </w:numPr>
        <w:shd w:val="clear" w:color="auto" w:fill="auto"/>
        <w:tabs>
          <w:tab w:val="left" w:pos="1143"/>
        </w:tabs>
        <w:spacing w:after="0"/>
        <w:ind w:left="20" w:right="40" w:firstLine="540"/>
      </w:pPr>
      <w:r>
        <w:t>Использование бюджетных ассигнований резервного фонда осуществляется на основании постановления Администрации сельского поселения Тимофеевка.</w:t>
      </w:r>
    </w:p>
    <w:p w:rsidR="00753E4D" w:rsidRDefault="00F55491">
      <w:pPr>
        <w:pStyle w:val="1"/>
        <w:shd w:val="clear" w:color="auto" w:fill="auto"/>
        <w:tabs>
          <w:tab w:val="right" w:pos="5370"/>
        </w:tabs>
        <w:spacing w:after="0"/>
        <w:ind w:left="20" w:right="40" w:firstLine="540"/>
      </w:pPr>
      <w:r>
        <w:t>Средства резервного фонда имеют строго целевое назначение и подлежат расходованию исключительно</w:t>
      </w:r>
      <w:r>
        <w:tab/>
        <w:t>на цели, указанные в постановлении</w:t>
      </w:r>
    </w:p>
    <w:p w:rsidR="00432938" w:rsidRPr="00432938" w:rsidRDefault="00432938" w:rsidP="00432938">
      <w:pPr>
        <w:spacing w:line="269" w:lineRule="exact"/>
        <w:ind w:left="20" w:right="20"/>
        <w:jc w:val="both"/>
        <w:rPr>
          <w:rFonts w:ascii="Century Gothic" w:eastAsia="Century Gothic" w:hAnsi="Century Gothic" w:cs="Century Gothic"/>
          <w:color w:val="auto"/>
          <w:sz w:val="21"/>
          <w:szCs w:val="21"/>
        </w:rPr>
      </w:pPr>
      <w:r w:rsidRPr="00432938">
        <w:rPr>
          <w:rFonts w:ascii="Century Gothic" w:eastAsia="Century Gothic" w:hAnsi="Century Gothic" w:cs="Century Gothic"/>
          <w:color w:val="auto"/>
          <w:sz w:val="21"/>
          <w:szCs w:val="21"/>
        </w:rPr>
        <w:t xml:space="preserve">Администрации сельского поселения Тимофеевка о выделении бюджетных </w:t>
      </w:r>
      <w:r w:rsidRPr="00432938">
        <w:rPr>
          <w:rFonts w:ascii="Century Gothic" w:eastAsia="Century Gothic" w:hAnsi="Century Gothic" w:cs="Century Gothic"/>
          <w:color w:val="auto"/>
          <w:sz w:val="21"/>
          <w:szCs w:val="21"/>
        </w:rPr>
        <w:lastRenderedPageBreak/>
        <w:t>ассигнований резервного фонда.</w:t>
      </w:r>
    </w:p>
    <w:p w:rsidR="00432938" w:rsidRPr="00432938" w:rsidRDefault="00432938" w:rsidP="00432938">
      <w:pPr>
        <w:numPr>
          <w:ilvl w:val="0"/>
          <w:numId w:val="3"/>
        </w:numPr>
        <w:tabs>
          <w:tab w:val="left" w:pos="916"/>
        </w:tabs>
        <w:spacing w:line="269" w:lineRule="exact"/>
        <w:ind w:right="20"/>
        <w:jc w:val="both"/>
        <w:rPr>
          <w:rFonts w:ascii="Century Gothic" w:eastAsia="Century Gothic" w:hAnsi="Century Gothic" w:cs="Century Gothic"/>
          <w:color w:val="auto"/>
          <w:sz w:val="21"/>
          <w:szCs w:val="21"/>
        </w:rPr>
      </w:pPr>
      <w:r w:rsidRPr="00432938">
        <w:rPr>
          <w:rFonts w:ascii="Century Gothic" w:eastAsia="Century Gothic" w:hAnsi="Century Gothic" w:cs="Century Gothic"/>
          <w:color w:val="auto"/>
          <w:sz w:val="21"/>
          <w:szCs w:val="21"/>
        </w:rPr>
        <w:t>Основанием для подготовки проекта постановления Администрации сельского поселения Тимофеевка об использовании бюджетных ассигнований резервного фонда является поручение Главы сельского поселения, данное на основании письменного обращения.</w:t>
      </w:r>
    </w:p>
    <w:p w:rsidR="00432938" w:rsidRPr="00432938" w:rsidRDefault="00432938" w:rsidP="00432938">
      <w:pPr>
        <w:spacing w:line="269" w:lineRule="exact"/>
        <w:ind w:left="20" w:right="20" w:firstLine="540"/>
        <w:jc w:val="both"/>
        <w:rPr>
          <w:rFonts w:ascii="Century Gothic" w:eastAsia="Century Gothic" w:hAnsi="Century Gothic" w:cs="Century Gothic"/>
          <w:color w:val="auto"/>
          <w:sz w:val="21"/>
          <w:szCs w:val="21"/>
        </w:rPr>
      </w:pPr>
      <w:r w:rsidRPr="00432938">
        <w:rPr>
          <w:rFonts w:ascii="Century Gothic" w:eastAsia="Century Gothic" w:hAnsi="Century Gothic" w:cs="Century Gothic"/>
          <w:color w:val="auto"/>
          <w:sz w:val="21"/>
          <w:szCs w:val="21"/>
        </w:rPr>
        <w:t>Обращение должно сопровождаться обоснованием необходимости выделения средств, а также документами (расчетами, сметами), подтверждающими испрашиваемый объем средств.</w:t>
      </w:r>
    </w:p>
    <w:p w:rsidR="00432938" w:rsidRPr="00432938" w:rsidRDefault="00432938" w:rsidP="00432938">
      <w:pPr>
        <w:numPr>
          <w:ilvl w:val="0"/>
          <w:numId w:val="3"/>
        </w:numPr>
        <w:tabs>
          <w:tab w:val="left" w:pos="740"/>
        </w:tabs>
        <w:spacing w:line="269" w:lineRule="exact"/>
        <w:ind w:right="20"/>
        <w:jc w:val="both"/>
        <w:rPr>
          <w:rFonts w:ascii="Century Gothic" w:eastAsia="Century Gothic" w:hAnsi="Century Gothic" w:cs="Century Gothic"/>
          <w:color w:val="auto"/>
          <w:sz w:val="21"/>
          <w:szCs w:val="21"/>
        </w:rPr>
      </w:pPr>
      <w:r w:rsidRPr="00432938">
        <w:rPr>
          <w:rFonts w:ascii="Century Gothic" w:eastAsia="Century Gothic" w:hAnsi="Century Gothic" w:cs="Century Gothic"/>
          <w:color w:val="auto"/>
          <w:sz w:val="21"/>
          <w:szCs w:val="21"/>
        </w:rPr>
        <w:t>Проект постановления Администрации сельского поселения Тимофеевка о выделении бюджетных ассигнований резервного фонда должен содержать:</w:t>
      </w:r>
    </w:p>
    <w:p w:rsidR="00432938" w:rsidRPr="00432938" w:rsidRDefault="00432938" w:rsidP="00432938">
      <w:pPr>
        <w:numPr>
          <w:ilvl w:val="0"/>
          <w:numId w:val="4"/>
        </w:numPr>
        <w:tabs>
          <w:tab w:val="left" w:pos="740"/>
        </w:tabs>
        <w:spacing w:line="269" w:lineRule="exact"/>
        <w:jc w:val="both"/>
        <w:rPr>
          <w:rFonts w:ascii="Century Gothic" w:eastAsia="Century Gothic" w:hAnsi="Century Gothic" w:cs="Century Gothic"/>
          <w:color w:val="auto"/>
          <w:sz w:val="21"/>
          <w:szCs w:val="21"/>
        </w:rPr>
      </w:pPr>
      <w:r w:rsidRPr="00432938">
        <w:rPr>
          <w:rFonts w:ascii="Century Gothic" w:eastAsia="Century Gothic" w:hAnsi="Century Gothic" w:cs="Century Gothic"/>
          <w:color w:val="auto"/>
          <w:sz w:val="21"/>
          <w:szCs w:val="21"/>
        </w:rPr>
        <w:t>основание принятия соответствующего решения;</w:t>
      </w:r>
    </w:p>
    <w:p w:rsidR="00432938" w:rsidRPr="00432938" w:rsidRDefault="00432938" w:rsidP="00432938">
      <w:pPr>
        <w:numPr>
          <w:ilvl w:val="0"/>
          <w:numId w:val="4"/>
        </w:numPr>
        <w:tabs>
          <w:tab w:val="left" w:pos="740"/>
        </w:tabs>
        <w:spacing w:line="269" w:lineRule="exact"/>
        <w:jc w:val="both"/>
        <w:rPr>
          <w:rFonts w:ascii="Century Gothic" w:eastAsia="Century Gothic" w:hAnsi="Century Gothic" w:cs="Century Gothic"/>
          <w:color w:val="auto"/>
          <w:sz w:val="21"/>
          <w:szCs w:val="21"/>
        </w:rPr>
      </w:pPr>
      <w:r w:rsidRPr="00432938">
        <w:rPr>
          <w:rFonts w:ascii="Century Gothic" w:eastAsia="Century Gothic" w:hAnsi="Century Gothic" w:cs="Century Gothic"/>
          <w:color w:val="auto"/>
          <w:sz w:val="21"/>
          <w:szCs w:val="21"/>
        </w:rPr>
        <w:t>наименование главного распорядителя бюджетных средств;</w:t>
      </w:r>
    </w:p>
    <w:p w:rsidR="00432938" w:rsidRPr="00432938" w:rsidRDefault="00432938" w:rsidP="00432938">
      <w:pPr>
        <w:numPr>
          <w:ilvl w:val="0"/>
          <w:numId w:val="4"/>
        </w:numPr>
        <w:tabs>
          <w:tab w:val="left" w:pos="740"/>
        </w:tabs>
        <w:spacing w:line="269" w:lineRule="exact"/>
        <w:jc w:val="both"/>
        <w:rPr>
          <w:rFonts w:ascii="Century Gothic" w:eastAsia="Century Gothic" w:hAnsi="Century Gothic" w:cs="Century Gothic"/>
          <w:color w:val="auto"/>
          <w:sz w:val="21"/>
          <w:szCs w:val="21"/>
        </w:rPr>
      </w:pPr>
      <w:r w:rsidRPr="00432938">
        <w:rPr>
          <w:rFonts w:ascii="Century Gothic" w:eastAsia="Century Gothic" w:hAnsi="Century Gothic" w:cs="Century Gothic"/>
          <w:color w:val="auto"/>
          <w:sz w:val="21"/>
          <w:szCs w:val="21"/>
        </w:rPr>
        <w:t>общий объем выделенных бюджетных ассигнований;</w:t>
      </w:r>
    </w:p>
    <w:p w:rsidR="00432938" w:rsidRPr="00432938" w:rsidRDefault="00432938" w:rsidP="00432938">
      <w:pPr>
        <w:numPr>
          <w:ilvl w:val="0"/>
          <w:numId w:val="4"/>
        </w:numPr>
        <w:tabs>
          <w:tab w:val="left" w:pos="740"/>
        </w:tabs>
        <w:spacing w:line="269" w:lineRule="exact"/>
        <w:jc w:val="both"/>
        <w:rPr>
          <w:rFonts w:ascii="Century Gothic" w:eastAsia="Century Gothic" w:hAnsi="Century Gothic" w:cs="Century Gothic"/>
          <w:color w:val="auto"/>
          <w:sz w:val="21"/>
          <w:szCs w:val="21"/>
        </w:rPr>
      </w:pPr>
      <w:r w:rsidRPr="00432938">
        <w:rPr>
          <w:rFonts w:ascii="Century Gothic" w:eastAsia="Century Gothic" w:hAnsi="Century Gothic" w:cs="Century Gothic"/>
          <w:color w:val="auto"/>
          <w:sz w:val="21"/>
          <w:szCs w:val="21"/>
        </w:rPr>
        <w:t>целевое назначение;</w:t>
      </w:r>
    </w:p>
    <w:p w:rsidR="00432938" w:rsidRPr="00432938" w:rsidRDefault="00432938" w:rsidP="00432938">
      <w:pPr>
        <w:numPr>
          <w:ilvl w:val="0"/>
          <w:numId w:val="4"/>
        </w:numPr>
        <w:tabs>
          <w:tab w:val="left" w:pos="740"/>
        </w:tabs>
        <w:spacing w:line="269" w:lineRule="exact"/>
        <w:jc w:val="both"/>
        <w:rPr>
          <w:rFonts w:ascii="Century Gothic" w:eastAsia="Century Gothic" w:hAnsi="Century Gothic" w:cs="Century Gothic"/>
          <w:color w:val="auto"/>
          <w:sz w:val="21"/>
          <w:szCs w:val="21"/>
        </w:rPr>
      </w:pPr>
      <w:r w:rsidRPr="00432938">
        <w:rPr>
          <w:rFonts w:ascii="Century Gothic" w:eastAsia="Century Gothic" w:hAnsi="Century Gothic" w:cs="Century Gothic"/>
          <w:color w:val="auto"/>
          <w:sz w:val="21"/>
          <w:szCs w:val="21"/>
        </w:rPr>
        <w:t>порядок и сроки использования выделенных бюджетных ассигнований.</w:t>
      </w:r>
    </w:p>
    <w:p w:rsidR="00432938" w:rsidRPr="00432938" w:rsidRDefault="00432938" w:rsidP="00432938">
      <w:pPr>
        <w:numPr>
          <w:ilvl w:val="0"/>
          <w:numId w:val="3"/>
        </w:numPr>
        <w:tabs>
          <w:tab w:val="left" w:pos="740"/>
        </w:tabs>
        <w:spacing w:after="240" w:line="269" w:lineRule="exact"/>
        <w:ind w:right="20"/>
        <w:jc w:val="both"/>
        <w:rPr>
          <w:rFonts w:ascii="Century Gothic" w:eastAsia="Century Gothic" w:hAnsi="Century Gothic" w:cs="Century Gothic"/>
          <w:color w:val="auto"/>
          <w:sz w:val="21"/>
          <w:szCs w:val="21"/>
        </w:rPr>
      </w:pPr>
      <w:r w:rsidRPr="00432938">
        <w:rPr>
          <w:rFonts w:ascii="Century Gothic" w:eastAsia="Century Gothic" w:hAnsi="Century Gothic" w:cs="Century Gothic"/>
          <w:color w:val="auto"/>
          <w:sz w:val="21"/>
          <w:szCs w:val="21"/>
        </w:rPr>
        <w:t>В целях учета бюджетных ассигнований, выделенных из резервного фонда, соответствующие главные распорядители бюджетных средств в месячный срок после проведения соответствующих мероприятий представляют отчет о целевом использовании бюджетных ассигнований, выделенных из резервного фонда.</w:t>
      </w:r>
    </w:p>
    <w:p w:rsidR="00432938" w:rsidRPr="00432938" w:rsidRDefault="00432938" w:rsidP="00432938">
      <w:pPr>
        <w:numPr>
          <w:ilvl w:val="0"/>
          <w:numId w:val="3"/>
        </w:numPr>
        <w:tabs>
          <w:tab w:val="left" w:pos="916"/>
        </w:tabs>
        <w:spacing w:after="236" w:line="269" w:lineRule="exact"/>
        <w:ind w:right="20"/>
        <w:jc w:val="both"/>
        <w:rPr>
          <w:rFonts w:ascii="Century Gothic" w:eastAsia="Century Gothic" w:hAnsi="Century Gothic" w:cs="Century Gothic"/>
          <w:color w:val="auto"/>
          <w:sz w:val="21"/>
          <w:szCs w:val="21"/>
        </w:rPr>
      </w:pPr>
      <w:r w:rsidRPr="00432938">
        <w:rPr>
          <w:rFonts w:ascii="Century Gothic" w:eastAsia="Century Gothic" w:hAnsi="Century Gothic" w:cs="Century Gothic"/>
          <w:color w:val="auto"/>
          <w:sz w:val="21"/>
          <w:szCs w:val="21"/>
        </w:rPr>
        <w:t xml:space="preserve">В случае принятия в установленном порядке решения об использовании средств резервного фонда расходы подлежат отражению по соответствующим разделам, подразделам и видам </w:t>
      </w:r>
      <w:proofErr w:type="gramStart"/>
      <w:r w:rsidRPr="00432938">
        <w:rPr>
          <w:rFonts w:ascii="Century Gothic" w:eastAsia="Century Gothic" w:hAnsi="Century Gothic" w:cs="Century Gothic"/>
          <w:color w:val="auto"/>
          <w:sz w:val="21"/>
          <w:szCs w:val="21"/>
        </w:rPr>
        <w:t>расходов классификации расходов бюджета сельского поселения</w:t>
      </w:r>
      <w:proofErr w:type="gramEnd"/>
      <w:r w:rsidRPr="00432938">
        <w:rPr>
          <w:rFonts w:ascii="Century Gothic" w:eastAsia="Century Gothic" w:hAnsi="Century Gothic" w:cs="Century Gothic"/>
          <w:color w:val="auto"/>
          <w:sz w:val="21"/>
          <w:szCs w:val="21"/>
        </w:rPr>
        <w:t xml:space="preserve"> Тимофеевка, исходя из их отраслевой и ведомственной принадлежности с сохранением целевой статьи расходов.</w:t>
      </w:r>
    </w:p>
    <w:p w:rsidR="00432938" w:rsidRPr="00432938" w:rsidRDefault="00432938" w:rsidP="00432938">
      <w:pPr>
        <w:numPr>
          <w:ilvl w:val="0"/>
          <w:numId w:val="3"/>
        </w:numPr>
        <w:tabs>
          <w:tab w:val="left" w:pos="1018"/>
        </w:tabs>
        <w:spacing w:line="274" w:lineRule="exact"/>
        <w:ind w:right="20"/>
        <w:jc w:val="both"/>
        <w:rPr>
          <w:rFonts w:ascii="Century Gothic" w:eastAsia="Century Gothic" w:hAnsi="Century Gothic" w:cs="Century Gothic"/>
          <w:color w:val="auto"/>
          <w:sz w:val="21"/>
          <w:szCs w:val="21"/>
        </w:rPr>
      </w:pPr>
      <w:r w:rsidRPr="00432938">
        <w:rPr>
          <w:rFonts w:ascii="Century Gothic" w:eastAsia="Century Gothic" w:hAnsi="Century Gothic" w:cs="Century Gothic"/>
          <w:color w:val="auto"/>
          <w:sz w:val="21"/>
          <w:szCs w:val="21"/>
        </w:rPr>
        <w:t xml:space="preserve">В случае полного или частичного </w:t>
      </w:r>
      <w:proofErr w:type="spellStart"/>
      <w:r w:rsidRPr="00432938">
        <w:rPr>
          <w:rFonts w:ascii="Century Gothic" w:eastAsia="Century Gothic" w:hAnsi="Century Gothic" w:cs="Century Gothic"/>
          <w:color w:val="auto"/>
          <w:sz w:val="21"/>
          <w:szCs w:val="21"/>
        </w:rPr>
        <w:t>неосво</w:t>
      </w:r>
      <w:bookmarkStart w:id="0" w:name="_GoBack"/>
      <w:bookmarkEnd w:id="0"/>
      <w:r w:rsidRPr="00432938">
        <w:rPr>
          <w:rFonts w:ascii="Century Gothic" w:eastAsia="Century Gothic" w:hAnsi="Century Gothic" w:cs="Century Gothic"/>
          <w:color w:val="auto"/>
          <w:sz w:val="21"/>
          <w:szCs w:val="21"/>
        </w:rPr>
        <w:t>ения</w:t>
      </w:r>
      <w:proofErr w:type="spellEnd"/>
      <w:r w:rsidRPr="00432938">
        <w:rPr>
          <w:rFonts w:ascii="Century Gothic" w:eastAsia="Century Gothic" w:hAnsi="Century Gothic" w:cs="Century Gothic"/>
          <w:color w:val="auto"/>
          <w:sz w:val="21"/>
          <w:szCs w:val="21"/>
        </w:rPr>
        <w:t xml:space="preserve"> выделенных бюджетных ассигнований резервного фонда в течение длительного срока (более 1 месяца со дня окончания установленного срока) указанные бюджетные ассигнования подлежат сокращению и восстановлению в резервный фонд.</w:t>
      </w:r>
    </w:p>
    <w:p w:rsidR="00432938" w:rsidRPr="00432938" w:rsidRDefault="00432938" w:rsidP="00432938">
      <w:pPr>
        <w:spacing w:line="274" w:lineRule="exact"/>
        <w:ind w:left="20" w:right="20" w:firstLine="540"/>
        <w:jc w:val="both"/>
        <w:rPr>
          <w:rFonts w:ascii="Century Gothic" w:eastAsia="Century Gothic" w:hAnsi="Century Gothic" w:cs="Century Gothic"/>
          <w:color w:val="auto"/>
          <w:sz w:val="21"/>
          <w:szCs w:val="21"/>
        </w:rPr>
      </w:pPr>
      <w:r w:rsidRPr="00432938">
        <w:rPr>
          <w:rFonts w:ascii="Century Gothic" w:eastAsia="Century Gothic" w:hAnsi="Century Gothic" w:cs="Century Gothic"/>
          <w:color w:val="auto"/>
          <w:sz w:val="21"/>
          <w:szCs w:val="21"/>
        </w:rPr>
        <w:t>В этом случае Администрация сельского поселения Тимофеевка проводит предварительно сокращение лимитов бюджетных обязательств, готовит постановление Администрации сельского поселения Тимофеевка о сокращении и восстановлении бюджетных ассигнований резервного фонда.</w:t>
      </w:r>
    </w:p>
    <w:p w:rsidR="00432938" w:rsidRPr="00432938" w:rsidRDefault="00432938" w:rsidP="00432938">
      <w:pPr>
        <w:numPr>
          <w:ilvl w:val="0"/>
          <w:numId w:val="3"/>
        </w:numPr>
        <w:tabs>
          <w:tab w:val="left" w:pos="1018"/>
        </w:tabs>
        <w:spacing w:line="274" w:lineRule="exact"/>
        <w:ind w:right="20"/>
        <w:jc w:val="both"/>
        <w:rPr>
          <w:rFonts w:ascii="Century Gothic" w:eastAsia="Century Gothic" w:hAnsi="Century Gothic" w:cs="Century Gothic"/>
          <w:color w:val="auto"/>
          <w:sz w:val="21"/>
          <w:szCs w:val="21"/>
        </w:rPr>
      </w:pPr>
      <w:r w:rsidRPr="00432938">
        <w:rPr>
          <w:rFonts w:ascii="Century Gothic" w:eastAsia="Century Gothic" w:hAnsi="Century Gothic" w:cs="Century Gothic"/>
          <w:color w:val="auto"/>
          <w:sz w:val="21"/>
          <w:szCs w:val="21"/>
        </w:rPr>
        <w:t>Отчет об использовании бюджетных ассигнований резервного фонда прилагается к ежеквартальному и годовому отчету об исполнении бюджета сельского поселения Тимофеевка.</w:t>
      </w:r>
    </w:p>
    <w:p w:rsidR="00432938" w:rsidRDefault="00432938">
      <w:pPr>
        <w:pStyle w:val="1"/>
        <w:shd w:val="clear" w:color="auto" w:fill="auto"/>
        <w:tabs>
          <w:tab w:val="right" w:pos="5370"/>
        </w:tabs>
        <w:spacing w:after="0"/>
        <w:ind w:left="20" w:right="40" w:firstLine="540"/>
      </w:pPr>
    </w:p>
    <w:sectPr w:rsidR="00432938">
      <w:type w:val="continuous"/>
      <w:pgSz w:w="11909" w:h="16838"/>
      <w:pgMar w:top="985" w:right="1281" w:bottom="985" w:left="1281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F1965" w:rsidRDefault="008F1965">
      <w:r>
        <w:separator/>
      </w:r>
    </w:p>
  </w:endnote>
  <w:endnote w:type="continuationSeparator" w:id="0">
    <w:p w:rsidR="008F1965" w:rsidRDefault="008F19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F1965" w:rsidRDefault="008F1965"/>
  </w:footnote>
  <w:footnote w:type="continuationSeparator" w:id="0">
    <w:p w:rsidR="008F1965" w:rsidRDefault="008F1965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B5627E"/>
    <w:multiLevelType w:val="multilevel"/>
    <w:tmpl w:val="69B01F8E"/>
    <w:lvl w:ilvl="0">
      <w:start w:val="1"/>
      <w:numFmt w:val="decimal"/>
      <w:lvlText w:val="%1."/>
      <w:lvlJc w:val="left"/>
      <w:rPr>
        <w:rFonts w:ascii="Century Gothic" w:eastAsia="Century Gothic" w:hAnsi="Century Gothic" w:cs="Century Gothic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37D10975"/>
    <w:multiLevelType w:val="multilevel"/>
    <w:tmpl w:val="0BCA907E"/>
    <w:lvl w:ilvl="0">
      <w:start w:val="6"/>
      <w:numFmt w:val="decimal"/>
      <w:lvlText w:val="%1."/>
      <w:lvlJc w:val="left"/>
      <w:rPr>
        <w:rFonts w:ascii="Century Gothic" w:eastAsia="Century Gothic" w:hAnsi="Century Gothic" w:cs="Century Gothic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657D412D"/>
    <w:multiLevelType w:val="multilevel"/>
    <w:tmpl w:val="1DF0FD5E"/>
    <w:lvl w:ilvl="0">
      <w:start w:val="1"/>
      <w:numFmt w:val="bullet"/>
      <w:lvlText w:val="-"/>
      <w:lvlJc w:val="left"/>
      <w:rPr>
        <w:rFonts w:ascii="Century Gothic" w:eastAsia="Century Gothic" w:hAnsi="Century Gothic" w:cs="Century Gothic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681E02D6"/>
    <w:multiLevelType w:val="multilevel"/>
    <w:tmpl w:val="E2E02C9C"/>
    <w:lvl w:ilvl="0">
      <w:start w:val="1"/>
      <w:numFmt w:val="bullet"/>
      <w:lvlText w:val="-"/>
      <w:lvlJc w:val="left"/>
      <w:rPr>
        <w:rFonts w:ascii="Century Gothic" w:eastAsia="Century Gothic" w:hAnsi="Century Gothic" w:cs="Century Gothic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2"/>
  </w:compat>
  <w:rsids>
    <w:rsidRoot w:val="00753E4D"/>
    <w:rsid w:val="00432938"/>
    <w:rsid w:val="00753E4D"/>
    <w:rsid w:val="008F1965"/>
    <w:rsid w:val="00C47FFA"/>
    <w:rsid w:val="00F554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ourier New" w:eastAsia="Courier New" w:hAnsi="Courier New" w:cs="Courier New"/>
        <w:sz w:val="24"/>
        <w:szCs w:val="24"/>
        <w:lang w:val="ru-RU" w:eastAsia="ru-RU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a4">
    <w:name w:val="Основной текст_"/>
    <w:basedOn w:val="a0"/>
    <w:link w:val="1"/>
    <w:rPr>
      <w:rFonts w:ascii="Century Gothic" w:eastAsia="Century Gothic" w:hAnsi="Century Gothic" w:cs="Century Gothic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2">
    <w:name w:val="Основной текст (2)_"/>
    <w:basedOn w:val="a0"/>
    <w:link w:val="20"/>
    <w:rPr>
      <w:rFonts w:ascii="Century Gothic" w:eastAsia="Century Gothic" w:hAnsi="Century Gothic" w:cs="Century Gothic"/>
      <w:b/>
      <w:bCs/>
      <w:i w:val="0"/>
      <w:iCs w:val="0"/>
      <w:smallCaps w:val="0"/>
      <w:strike w:val="0"/>
      <w:sz w:val="21"/>
      <w:szCs w:val="21"/>
      <w:u w:val="none"/>
    </w:rPr>
  </w:style>
  <w:style w:type="paragraph" w:customStyle="1" w:styleId="1">
    <w:name w:val="Основной текст1"/>
    <w:basedOn w:val="a"/>
    <w:link w:val="a4"/>
    <w:pPr>
      <w:shd w:val="clear" w:color="auto" w:fill="FFFFFF"/>
      <w:spacing w:after="480" w:line="269" w:lineRule="exact"/>
      <w:ind w:hanging="780"/>
      <w:jc w:val="both"/>
    </w:pPr>
    <w:rPr>
      <w:rFonts w:ascii="Century Gothic" w:eastAsia="Century Gothic" w:hAnsi="Century Gothic" w:cs="Century Gothic"/>
      <w:sz w:val="22"/>
      <w:szCs w:val="22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before="480" w:line="269" w:lineRule="exact"/>
      <w:jc w:val="center"/>
    </w:pPr>
    <w:rPr>
      <w:rFonts w:ascii="Century Gothic" w:eastAsia="Century Gothic" w:hAnsi="Century Gothic" w:cs="Century Gothic"/>
      <w:b/>
      <w:bCs/>
      <w:sz w:val="21"/>
      <w:szCs w:val="2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680</Words>
  <Characters>3881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Арзамасцев Владимир</dc:creator>
  <cp:lastModifiedBy>Арзамасцев Владимир</cp:lastModifiedBy>
  <cp:revision>2</cp:revision>
  <dcterms:created xsi:type="dcterms:W3CDTF">2013-03-20T13:33:00Z</dcterms:created>
  <dcterms:modified xsi:type="dcterms:W3CDTF">2013-04-10T06:54:00Z</dcterms:modified>
</cp:coreProperties>
</file>